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4B" w:rsidRDefault="006D115C" w:rsidP="00BA314B">
      <w:pPr>
        <w:pBdr>
          <w:bottom w:val="single" w:sz="4" w:space="1" w:color="auto"/>
        </w:pBdr>
      </w:pPr>
      <w:r w:rsidRPr="006D115C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8.25pt;margin-top:5.9pt;width:708.1pt;height:174.35pt;z-index:251660288;mso-width-relative:margin;mso-height-relative:margin" stroked="f">
            <v:textbox style="mso-next-textbox:#_x0000_s1037">
              <w:txbxContent>
                <w:p w:rsidR="00BA314B" w:rsidRPr="00BA314B" w:rsidRDefault="00BA314B" w:rsidP="00BA314B">
                  <w:pPr>
                    <w:pStyle w:val="Ttulo1"/>
                    <w:shd w:val="clear" w:color="auto" w:fill="FFFFFF"/>
                    <w:spacing w:before="0" w:beforeAutospacing="0" w:after="240" w:afterAutospacing="0" w:line="360" w:lineRule="auto"/>
                    <w:ind w:left="360"/>
                    <w:jc w:val="center"/>
                    <w:textAlignment w:val="baseline"/>
                    <w:rPr>
                      <w:rFonts w:ascii="Calibri" w:hAnsi="Calibri"/>
                      <w:bCs w:val="0"/>
                      <w:i/>
                      <w:spacing w:val="-15"/>
                      <w:sz w:val="96"/>
                      <w:szCs w:val="96"/>
                    </w:rPr>
                  </w:pPr>
                  <w:r w:rsidRPr="00BA314B">
                    <w:rPr>
                      <w:rFonts w:ascii="Calibri" w:hAnsi="Calibri"/>
                      <w:bCs w:val="0"/>
                      <w:i/>
                      <w:spacing w:val="-15"/>
                      <w:sz w:val="96"/>
                      <w:szCs w:val="96"/>
                    </w:rPr>
                    <w:t>57 millones de niñas en el mundo no estudian, afirma la ONU</w:t>
                  </w:r>
                </w:p>
                <w:p w:rsidR="00BA314B" w:rsidRDefault="00BA314B">
                  <w:pPr>
                    <w:rPr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BA314B" w:rsidRDefault="00BA314B" w:rsidP="00BA314B">
      <w:pPr>
        <w:pBdr>
          <w:bottom w:val="single" w:sz="4" w:space="1" w:color="auto"/>
        </w:pBdr>
      </w:pPr>
    </w:p>
    <w:p w:rsidR="00BA314B" w:rsidRDefault="006D115C" w:rsidP="00BA314B">
      <w:pPr>
        <w:pBdr>
          <w:bottom w:val="single" w:sz="4" w:space="1" w:color="auto"/>
        </w:pBdr>
      </w:pPr>
      <w:r>
        <w:rPr>
          <w:noProof/>
          <w:lang w:val="es-ES" w:eastAsia="es-ES"/>
        </w:rPr>
        <w:pict>
          <v:shape id="_x0000_s1038" type="#_x0000_t202" style="position:absolute;margin-left:8.25pt;margin-top:55.15pt;width:708.1pt;height:174.35pt;z-index:251661312;mso-width-relative:margin;mso-height-relative:margin" stroked="f">
            <v:textbox style="mso-next-textbox:#_x0000_s1038">
              <w:txbxContent>
                <w:p w:rsidR="00BA314B" w:rsidRPr="00BA314B" w:rsidRDefault="00BA314B" w:rsidP="00BA314B">
                  <w:pPr>
                    <w:jc w:val="center"/>
                    <w:rPr>
                      <w:rFonts w:ascii="Calibri" w:hAnsi="Calibri"/>
                      <w:b/>
                      <w:i/>
                      <w:color w:val="000000"/>
                      <w:sz w:val="120"/>
                      <w:szCs w:val="120"/>
                    </w:rPr>
                  </w:pPr>
                  <w:r w:rsidRPr="00BA314B">
                    <w:rPr>
                      <w:rFonts w:ascii="Calibri" w:hAnsi="Calibri"/>
                      <w:b/>
                      <w:i/>
                      <w:color w:val="000000"/>
                      <w:sz w:val="120"/>
                      <w:szCs w:val="120"/>
                    </w:rPr>
                    <w:t>La educación española</w:t>
                  </w:r>
                </w:p>
                <w:p w:rsidR="00BA314B" w:rsidRPr="00BA314B" w:rsidRDefault="00BA314B" w:rsidP="00BA314B">
                  <w:pPr>
                    <w:jc w:val="center"/>
                    <w:rPr>
                      <w:b/>
                      <w:sz w:val="120"/>
                      <w:szCs w:val="120"/>
                      <w:lang w:val="es-ES"/>
                    </w:rPr>
                  </w:pPr>
                  <w:proofErr w:type="gramStart"/>
                  <w:r w:rsidRPr="00BA314B">
                    <w:rPr>
                      <w:rFonts w:ascii="Calibri" w:hAnsi="Calibri"/>
                      <w:b/>
                      <w:i/>
                      <w:color w:val="000000"/>
                      <w:sz w:val="120"/>
                      <w:szCs w:val="120"/>
                    </w:rPr>
                    <w:t>en</w:t>
                  </w:r>
                  <w:proofErr w:type="gramEnd"/>
                  <w:r w:rsidRPr="00BA314B">
                    <w:rPr>
                      <w:rFonts w:ascii="Calibri" w:hAnsi="Calibri"/>
                      <w:b/>
                      <w:i/>
                      <w:color w:val="000000"/>
                      <w:sz w:val="120"/>
                      <w:szCs w:val="120"/>
                    </w:rPr>
                    <w:t xml:space="preserve"> crisis</w:t>
                  </w:r>
                </w:p>
              </w:txbxContent>
            </v:textbox>
            <w10:wrap type="square"/>
          </v:shape>
        </w:pict>
      </w:r>
      <w:r w:rsidR="00BA314B">
        <w:br w:type="page"/>
      </w:r>
    </w:p>
    <w:p w:rsidR="00BA314B" w:rsidRDefault="006D115C" w:rsidP="00BA314B">
      <w:r>
        <w:rPr>
          <w:noProof/>
          <w:lang w:val="es-ES" w:eastAsia="es-ES"/>
        </w:rPr>
        <w:lastRenderedPageBreak/>
        <w:pict>
          <v:shape id="_x0000_s1039" type="#_x0000_t202" style="position:absolute;margin-left:2pt;margin-top:19.15pt;width:708.1pt;height:174.35pt;z-index:251662336;mso-width-relative:margin;mso-height-relative:margin" stroked="f">
            <v:textbox style="mso-next-textbox:#_x0000_s1039">
              <w:txbxContent>
                <w:p w:rsidR="00BA314B" w:rsidRPr="00BA314B" w:rsidRDefault="006D115C" w:rsidP="00BA314B">
                  <w:pPr>
                    <w:jc w:val="center"/>
                    <w:rPr>
                      <w:b/>
                      <w:sz w:val="84"/>
                      <w:szCs w:val="84"/>
                      <w:lang w:val="es-ES"/>
                    </w:rPr>
                  </w:pPr>
                  <w:hyperlink r:id="rId6" w:history="1">
                    <w:r w:rsidR="00BA314B" w:rsidRPr="00BA314B">
                      <w:rPr>
                        <w:rStyle w:val="Hipervnculo"/>
                        <w:rFonts w:ascii="Calibri" w:hAnsi="Calibri"/>
                        <w:b/>
                        <w:i/>
                        <w:color w:val="000000"/>
                        <w:sz w:val="84"/>
                        <w:szCs w:val="84"/>
                        <w:u w:val="none"/>
                        <w:bdr w:val="none" w:sz="0" w:space="0" w:color="auto" w:frame="1"/>
                      </w:rPr>
                      <w:t>La educación en la India, marcada por la desigualdad entre hombres y mujeres</w:t>
                    </w:r>
                  </w:hyperlink>
                </w:p>
                <w:p w:rsidR="00BA314B" w:rsidRDefault="00BA314B" w:rsidP="00BA314B">
                  <w:pPr>
                    <w:rPr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BA314B" w:rsidRDefault="006D115C" w:rsidP="00BA314B">
      <w:pPr>
        <w:pBdr>
          <w:bottom w:val="single" w:sz="4" w:space="1" w:color="auto"/>
        </w:pBdr>
      </w:pPr>
      <w:r>
        <w:rPr>
          <w:noProof/>
          <w:lang w:val="es-ES" w:eastAsia="es-ES"/>
        </w:rPr>
        <w:pict>
          <v:shape id="_x0000_s1040" type="#_x0000_t202" style="position:absolute;margin-left:2pt;margin-top:72.15pt;width:708.1pt;height:174.35pt;z-index:251663360;mso-width-relative:margin;mso-height-relative:margin" stroked="f">
            <v:textbox style="mso-next-textbox:#_x0000_s1040">
              <w:txbxContent>
                <w:p w:rsidR="00BA314B" w:rsidRDefault="00BA314B" w:rsidP="00BA314B">
                  <w:pPr>
                    <w:jc w:val="center"/>
                    <w:rPr>
                      <w:lang w:val="es-ES"/>
                    </w:rPr>
                  </w:pPr>
                  <w:r w:rsidRPr="00B53A34">
                    <w:rPr>
                      <w:rFonts w:ascii="Calibri" w:hAnsi="Calibri" w:cs="Arial"/>
                      <w:b/>
                      <w:i/>
                      <w:color w:val="000000"/>
                      <w:spacing w:val="-15"/>
                      <w:sz w:val="96"/>
                      <w:szCs w:val="96"/>
                    </w:rPr>
                    <w:t>No todos los niños podrán volver a clase en Nicaragua</w:t>
                  </w:r>
                </w:p>
              </w:txbxContent>
            </v:textbox>
            <w10:wrap type="square"/>
          </v:shape>
        </w:pict>
      </w:r>
      <w:r w:rsidR="00BA314B">
        <w:br w:type="page"/>
      </w:r>
    </w:p>
    <w:p w:rsidR="00BA314B" w:rsidRDefault="00BA314B"/>
    <w:p w:rsidR="00BA314B" w:rsidRDefault="006D115C">
      <w:r>
        <w:rPr>
          <w:noProof/>
          <w:lang w:val="es-ES" w:eastAsia="es-ES"/>
        </w:rPr>
        <w:pict>
          <v:shape id="_x0000_s1041" type="#_x0000_t202" style="position:absolute;margin-left:19.1pt;margin-top:29.7pt;width:708.1pt;height:246.35pt;z-index:251664384;mso-width-relative:margin;mso-height-relative:margin" stroked="f">
            <v:textbox style="mso-next-textbox:#_x0000_s1041">
              <w:txbxContent>
                <w:p w:rsidR="00E67A1C" w:rsidRDefault="00BA314B" w:rsidP="00407FC1">
                  <w:pPr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spacing w:val="-15"/>
                      <w:sz w:val="96"/>
                      <w:szCs w:val="96"/>
                    </w:rPr>
                  </w:pPr>
                  <w:r w:rsidRPr="00B53A34">
                    <w:rPr>
                      <w:rFonts w:ascii="Calibri" w:hAnsi="Calibri"/>
                      <w:b/>
                      <w:bCs/>
                      <w:i/>
                      <w:color w:val="000000"/>
                      <w:spacing w:val="-15"/>
                      <w:sz w:val="96"/>
                      <w:szCs w:val="96"/>
                    </w:rPr>
                    <w:t>Las guerras les roban el futuro</w:t>
                  </w:r>
                </w:p>
                <w:p w:rsidR="00BA314B" w:rsidRDefault="00BA314B" w:rsidP="00407FC1">
                  <w:pPr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spacing w:val="-15"/>
                      <w:sz w:val="96"/>
                      <w:szCs w:val="96"/>
                    </w:rPr>
                  </w:pPr>
                  <w:proofErr w:type="gramStart"/>
                  <w:r w:rsidRPr="00B53A34">
                    <w:rPr>
                      <w:rFonts w:ascii="Calibri" w:hAnsi="Calibri"/>
                      <w:b/>
                      <w:bCs/>
                      <w:i/>
                      <w:color w:val="000000"/>
                      <w:spacing w:val="-15"/>
                      <w:sz w:val="96"/>
                      <w:szCs w:val="96"/>
                    </w:rPr>
                    <w:t>a</w:t>
                  </w:r>
                  <w:proofErr w:type="gramEnd"/>
                  <w:r w:rsidRPr="00B53A34">
                    <w:rPr>
                      <w:rFonts w:ascii="Calibri" w:hAnsi="Calibri"/>
                      <w:b/>
                      <w:bCs/>
                      <w:i/>
                      <w:color w:val="000000"/>
                      <w:spacing w:val="-15"/>
                      <w:sz w:val="96"/>
                      <w:szCs w:val="96"/>
                    </w:rPr>
                    <w:t xml:space="preserve"> 28 millones de niños,</w:t>
                  </w:r>
                </w:p>
                <w:p w:rsidR="00BA314B" w:rsidRPr="00BA314B" w:rsidRDefault="00BA314B" w:rsidP="00407FC1">
                  <w:pPr>
                    <w:jc w:val="center"/>
                  </w:pPr>
                  <w:proofErr w:type="gramStart"/>
                  <w:r w:rsidRPr="00B53A34">
                    <w:rPr>
                      <w:rFonts w:ascii="Calibri" w:hAnsi="Calibri"/>
                      <w:b/>
                      <w:bCs/>
                      <w:i/>
                      <w:color w:val="000000"/>
                      <w:spacing w:val="-15"/>
                      <w:sz w:val="96"/>
                      <w:szCs w:val="96"/>
                    </w:rPr>
                    <w:t>según</w:t>
                  </w:r>
                  <w:proofErr w:type="gramEnd"/>
                  <w:r w:rsidRPr="00B53A34">
                    <w:rPr>
                      <w:rFonts w:ascii="Calibri" w:hAnsi="Calibri"/>
                      <w:b/>
                      <w:bCs/>
                      <w:i/>
                      <w:color w:val="000000"/>
                      <w:spacing w:val="-15"/>
                      <w:sz w:val="96"/>
                      <w:szCs w:val="96"/>
                    </w:rPr>
                    <w:t xml:space="preserve"> la Unesco</w:t>
                  </w:r>
                </w:p>
              </w:txbxContent>
            </v:textbox>
            <w10:wrap type="square"/>
          </v:shape>
        </w:pict>
      </w:r>
    </w:p>
    <w:p w:rsidR="00BA314B" w:rsidRDefault="00BA314B"/>
    <w:p w:rsidR="00BA314B" w:rsidRDefault="00BA314B"/>
    <w:p w:rsidR="00BA314B" w:rsidRDefault="00BA314B"/>
    <w:p w:rsidR="00BA314B" w:rsidRDefault="00BA314B"/>
    <w:sectPr w:rsidR="00BA314B" w:rsidSect="00C44C33">
      <w:pgSz w:w="16839" w:h="11907" w:orient="landscape" w:code="9"/>
      <w:pgMar w:top="1701" w:right="1417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55E0"/>
    <w:multiLevelType w:val="hybridMultilevel"/>
    <w:tmpl w:val="93941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A1BE3"/>
    <w:multiLevelType w:val="hybridMultilevel"/>
    <w:tmpl w:val="28C45D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83932"/>
    <w:multiLevelType w:val="hybridMultilevel"/>
    <w:tmpl w:val="C21E9C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13075"/>
    <w:multiLevelType w:val="hybridMultilevel"/>
    <w:tmpl w:val="4FCCD9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4C19"/>
    <w:rsid w:val="001032D6"/>
    <w:rsid w:val="001051E6"/>
    <w:rsid w:val="00166E95"/>
    <w:rsid w:val="001D6131"/>
    <w:rsid w:val="00236613"/>
    <w:rsid w:val="003621BC"/>
    <w:rsid w:val="00407FC1"/>
    <w:rsid w:val="006D115C"/>
    <w:rsid w:val="0072310D"/>
    <w:rsid w:val="00941999"/>
    <w:rsid w:val="00B72FE3"/>
    <w:rsid w:val="00BA314B"/>
    <w:rsid w:val="00BC3F5F"/>
    <w:rsid w:val="00C44C33"/>
    <w:rsid w:val="00DD3AFC"/>
    <w:rsid w:val="00DE7B9F"/>
    <w:rsid w:val="00E67A1C"/>
    <w:rsid w:val="00E94C19"/>
    <w:rsid w:val="00F43221"/>
    <w:rsid w:val="00F6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19"/>
    <w:rPr>
      <w:rFonts w:eastAsiaTheme="minorEastAsia"/>
      <w:lang w:eastAsia="es-MX"/>
    </w:rPr>
  </w:style>
  <w:style w:type="paragraph" w:styleId="Ttulo1">
    <w:name w:val="heading 1"/>
    <w:basedOn w:val="Normal"/>
    <w:link w:val="Ttulo1Car"/>
    <w:uiPriority w:val="9"/>
    <w:qFormat/>
    <w:rsid w:val="00236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661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51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1E6"/>
    <w:rPr>
      <w:rFonts w:ascii="Tahoma" w:eastAsiaTheme="minorEastAsia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236613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36613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paragraph" w:styleId="NormalWeb">
    <w:name w:val="Normal (Web)"/>
    <w:basedOn w:val="Normal"/>
    <w:uiPriority w:val="99"/>
    <w:unhideWhenUsed/>
    <w:rsid w:val="0023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236613"/>
  </w:style>
  <w:style w:type="character" w:styleId="Textoennegrita">
    <w:name w:val="Strong"/>
    <w:uiPriority w:val="22"/>
    <w:qFormat/>
    <w:rsid w:val="00236613"/>
    <w:rPr>
      <w:b/>
      <w:bCs/>
    </w:rPr>
  </w:style>
  <w:style w:type="character" w:styleId="Hipervnculo">
    <w:name w:val="Hyperlink"/>
    <w:uiPriority w:val="99"/>
    <w:semiHidden/>
    <w:unhideWhenUsed/>
    <w:rsid w:val="00236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19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51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1E6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ublico.es/internacional/368737/la-educacion-en-la-india-marcada-por-la-desigualdad-entre-hombres-y-mujer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361EA-EAF6-4E03-BB48-D3A4BC2B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RDCorp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WindowsRD v2</dc:creator>
  <cp:lastModifiedBy>Cons</cp:lastModifiedBy>
  <cp:revision>4</cp:revision>
  <dcterms:created xsi:type="dcterms:W3CDTF">2013-11-25T15:43:00Z</dcterms:created>
  <dcterms:modified xsi:type="dcterms:W3CDTF">2013-11-26T15:29:00Z</dcterms:modified>
</cp:coreProperties>
</file>